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z w:val="30"/>
          <w:szCs w:val="30"/>
        </w:rPr>
      </w:pPr>
      <w:bookmarkStart w:colFirst="0" w:colLast="0" w:name="_heading=h.m69efca7moh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30"/>
          <w:szCs w:val="30"/>
          <w:rtl w:val="0"/>
        </w:rPr>
        <w:t xml:space="preserve">ravidla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30"/>
          <w:szCs w:val="30"/>
          <w:rtl w:val="0"/>
        </w:rPr>
        <w:t xml:space="preserve">pro podávání a vyřizování stížností na způsob a kvalitu poskytování sociální služby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  <w:rtl w:val="0"/>
        </w:rPr>
        <w:t xml:space="preserve">Stížnost na poskytování sociálních služeb (§ 99a zák. 108/2006 Sb.)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si může stěžovat?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osoba, které je nebo byla poskytována sociální služba,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její zákonný zástupce, opatrovník nebo podpůrce,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blízká, pokud dotyčný nemůže stížnost podat sám (zdravotní stav, úmrtí),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osoba, které klient udělil plnou moc,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člen domácnosti oprávněný k zastupování podle občanského zákoníku,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zaměstnanec poskytovatele sociálních služeb.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Tihle všichni se dohromady označují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„stěžovatel“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Podání stížnosti nesmí být na újmu klientovi ani stěžovateli.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stížnost vyřizuje: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stížnosti vyřizuje vedoucí služby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stížnosti směřované proti vedoucímu služby vyřizuje vedoucí střediska nebo metodik Charity Most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Kdy, kam a jak se stížnost podává?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Lhůta je do 1 roka od události, která je předmětem stížnosti.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 se podává přímo poskytovateli sociálních služeb, kterého se týká.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" w:right="0" w:hanging="17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ústně, či telefonicky vedoucímu či sociálnímu pracovníkovi, o čemž příjemce stížnosti pořizuje písemný záznam, včetně identifikace a kontaktu stěžovatele,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00" w:line="240" w:lineRule="auto"/>
        <w:ind w:left="454" w:right="0" w:hanging="17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mailem na mailovou adresu vedoucího či sociálního pracovníka služby nebo organizace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54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písemně na adresu sociální služby nebo na adresu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Příjemce stížnosti je povinen bezodkladně ji předat vedoucímu či metodikovi, dle kompetence ke zpracování stížnosti.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musí reagovat poskytovatel služby?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Vyřídit stížnost do 30 dnů od doručení (možnost prodloužení o dalších 30 dnů s povinností oznámit důvody stěžovateli),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Písemně informovat stěžovatele o způsobu vyřízení, včetně informace o jeho právu nahlížet do dokumentace ke stížnosti a pořizovat si kopie nebo výpisy.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Vést písemnou evidenci stížností včetně způsobu jejich vyřízení,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Kroky poskytovatele po podání stížnosti: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" w:right="0" w:hanging="17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Seznámení s obsahem stížnosti a projednání s osobami, kterých se týká. Shromáždění všech dostupných a relevantních podkladů potřebných k posouzení,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" w:right="0" w:hanging="17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Zkoumá se, zda jsou postupy služby a jednání pracovníků v souladu s právními předpisy, vnitřními pravidly organizace, etickými kodexy, a naplňují oprávněná očekávání klientů vůči službě a pracovníkům.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454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Písemné zpracování vyřízení stížnosti: shrnutí podání stěžovatele, přehled podkladů, popis přijatých či doporučených opatření vyplývajících ze závěrů.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Doručení písemného vyřízení stížnosti stěžovateli, včetně poučení pro stěžovatele o dalších možnostech.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  <w:rtl w:val="0"/>
        </w:rPr>
        <w:t xml:space="preserve">Postup při nespokojenosti s vyřízením stížnosti (§ 99b zák. 108/2006 Sb.)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Možnost obrátit se na Ministerstvo práce a sociálních věcí: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stěžovatel nesouhlasí s vyřízením stížnosti, nebo nebyla-li vyřízena ve lhůtě, může do 60 dnů od doručení vyřízení (nebo od uplynutí lhůty) požádat Ministerstvo práce a sociálních věcí o prověření. V žádosti musí uvést důvody, proč o prověření žádá.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Postupy ministerstva: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Povinnosti ministerstva a poskytovatele: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ministerstvo prověří způsob vyřízení stížnosti.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poskytovatel je povinen poskytnout ministerstvu součinnost.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ministerstvo si může vyžádat vyjádření dalších orgánů či osob souvisejících s poskytováním služby.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Možnost odložení žádosti: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 zjevně neopodstatněná; pokud již byla prověřena, pokud jde o opakovanou žádost bez nových skutečností.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Lhůty pro prověření: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dnů od doručení žádosti; nebo do 90 dnů, pokud je nutné vyžádat si vyjádření dalších subjektů.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povinnosti ministerstva: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zpracovat pravidla pro prověřování; vést evidenci žádostí a jejich výsledků,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umožnit stěžovateli nahlížet do spisu a pořizovat si kopie,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písemně informovat stěžovatele i poskytovatele o výsledku prověření.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se stížnost ukáže jako oprávněná: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ministerstvo uloží poskytovateli povinnost odstranit nevyhovující stav, případně podá podnět jinému příslušnému orgánu,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340" w:right="0" w:hanging="17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poskytovatel musí závady odstranit ve lhůtě, kterou ministerstvo stanoví, a podat o tom zprávu.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  <w:rtl w:val="0"/>
        </w:rPr>
        <w:t xml:space="preserve">Další možnost pro podání stížnosti: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Stěžovatel má rovněž právo podat stížnost k Veřejnému ochránci práv (ombudsman):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podatelna@ochrance.cz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tel.: 542 542 888, Údolní 39, 602 00 Brno.</w:t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a61515"/>
          <w:sz w:val="28"/>
          <w:szCs w:val="28"/>
          <w:u w:val="none"/>
          <w:shd w:fill="auto" w:val="clear"/>
          <w:vertAlign w:val="baseline"/>
          <w:rtl w:val="0"/>
        </w:rPr>
        <w:t xml:space="preserve">Kdy nelze stížnosti vyhovět</w:t>
      </w:r>
    </w:p>
    <w:p w:rsidR="00000000" w:rsidDel="00000000" w:rsidP="00000000" w:rsidRDefault="00000000" w:rsidRPr="00000000" w14:paraId="0000003C">
      <w:pPr>
        <w:spacing w:after="60" w:before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Stížnost nelze uznat nebo vyřídit: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je-li podána anonymně nebo někým, kdo k tomu není oprávněn,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netýká se poskytování sociální služby nebo její kvality,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jde o opakovanou stížnost na stejnou věc, kterou už služba písemně vyřídila, a nepřináší nové skutečnosti,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podána po uplynutí lhůty jednoho roku od události, které se týká.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Každý podnět je pro nás důležitý.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když jej nelze vyřídit jako stížnost, vedoucí služby se jím zabývá vhodným způsobem. Smyslem je využít každý podnět ke zlepšování kvality poskytované sociální služby. Vždy je přitom zachováno soukromí a důstojnost klientů.</w:t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Kontakty pro podání stížnosti: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3570"/>
        <w:gridCol w:w="2970"/>
        <w:gridCol w:w="1380"/>
        <w:tblGridChange w:id="0">
          <w:tblGrid>
            <w:gridCol w:w="1440"/>
            <w:gridCol w:w="3570"/>
            <w:gridCol w:w="2970"/>
            <w:gridCol w:w="1380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kdo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adresa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jméno/e-mail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vedoucí služby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Čsl. Armády 1285/17, 43401,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Mgr. Bc. Jana Zahálková, DiS.</w:t>
            </w:r>
          </w:p>
          <w:p w:rsidR="00000000" w:rsidDel="00000000" w:rsidP="00000000" w:rsidRDefault="00000000" w:rsidRPr="00000000" w14:paraId="0000004D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zahalkova@charita-most.cz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727 997 098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sociální pracovník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Čsl. Armády 1285/17, 43401,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Bc. Halina Martonková, DiS.</w:t>
            </w:r>
          </w:p>
          <w:p w:rsidR="00000000" w:rsidDel="00000000" w:rsidP="00000000" w:rsidRDefault="00000000" w:rsidRPr="00000000" w14:paraId="00000052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martonkova@charita-most.cz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601 273 028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vedoucí střediska 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Fr. Malíka 956/16a, 434 01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Ing. Lenka Sirovičová</w:t>
            </w:r>
          </w:p>
          <w:p w:rsidR="00000000" w:rsidDel="00000000" w:rsidP="00000000" w:rsidRDefault="00000000" w:rsidRPr="00000000" w14:paraId="00000057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ředitelka Charity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725 021 291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metodik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Fr. Malíka 956/16a, 434 01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Jindřiška Vojtková, DiS.</w:t>
            </w:r>
          </w:p>
          <w:p w:rsidR="00000000" w:rsidDel="00000000" w:rsidP="00000000" w:rsidRDefault="00000000" w:rsidRPr="00000000" w14:paraId="0000005C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vojtkova@charita-most.cz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775 713 932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Charita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Fr. Malíka 956/16a, 434 01 Most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charita@charita-most.cz 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476 119 999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MPSV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Poříčním právu 1/376, 128 00</w:t>
            </w:r>
          </w:p>
          <w:p w:rsidR="00000000" w:rsidDel="00000000" w:rsidP="00000000" w:rsidRDefault="00000000" w:rsidRPr="00000000" w14:paraId="00000064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Praha 2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rtl w:val="0"/>
                </w:rPr>
                <w:t xml:space="preserve">posta@mpsv.cz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950 191 111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Veřejný ochránce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Údolní 39, 602 00 Brno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podatelna@ochrance.cz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before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542 542 888</w:t>
            </w:r>
          </w:p>
        </w:tc>
      </w:tr>
    </w:tbl>
    <w:p w:rsidR="00000000" w:rsidDel="00000000" w:rsidP="00000000" w:rsidRDefault="00000000" w:rsidRPr="00000000" w14:paraId="0000006B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10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ind w:left="-680" w:right="-680" w:firstLine="68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10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-198119</wp:posOffset>
          </wp:positionH>
          <wp:positionV relativeFrom="paragraph">
            <wp:posOffset>0</wp:posOffset>
          </wp:positionV>
          <wp:extent cx="1018800" cy="47880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800" cy="478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10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-1269</wp:posOffset>
          </wp:positionH>
          <wp:positionV relativeFrom="paragraph">
            <wp:posOffset>0</wp:posOffset>
          </wp:positionV>
          <wp:extent cx="1018800" cy="47880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800" cy="478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"/>
      </w:rPr>
    </w:rPrDefault>
    <w:pPrDefault>
      <w:pPr>
        <w:spacing w:after="200" w:before="1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a61515" w:space="0" w:sz="24" w:val="single"/>
        <w:left w:color="a61515" w:space="0" w:sz="24" w:val="single"/>
        <w:bottom w:color="a61515" w:space="0" w:sz="24" w:val="single"/>
        <w:right w:color="a61515" w:space="0" w:sz="24" w:val="single"/>
      </w:pBdr>
      <w:shd w:fill="a61515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color="f7c5c5" w:space="0" w:sz="24" w:val="single"/>
        <w:left w:color="f7c5c5" w:space="0" w:sz="24" w:val="single"/>
        <w:bottom w:color="f7c5c5" w:space="0" w:sz="24" w:val="single"/>
        <w:right w:color="f7c5c5" w:space="0" w:sz="24" w:val="single"/>
      </w:pBdr>
      <w:shd w:fill="f7c5c5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a61515" w:space="2" w:sz="6" w:val="single"/>
      </w:pBdr>
      <w:spacing w:after="0" w:before="300" w:lineRule="auto"/>
    </w:pPr>
    <w:rPr>
      <w:smallCaps w:val="1"/>
      <w:color w:val="520a0a"/>
    </w:rPr>
  </w:style>
  <w:style w:type="paragraph" w:styleId="Heading4">
    <w:name w:val="heading 4"/>
    <w:basedOn w:val="Normal"/>
    <w:next w:val="Normal"/>
    <w:pPr>
      <w:pBdr>
        <w:top w:color="a61515" w:space="2" w:sz="6" w:val="dotted"/>
      </w:pBdr>
      <w:spacing w:after="0" w:before="200" w:lineRule="auto"/>
    </w:pPr>
    <w:rPr>
      <w:smallCaps w:val="1"/>
      <w:color w:val="7c0f0f"/>
    </w:rPr>
  </w:style>
  <w:style w:type="paragraph" w:styleId="Heading5">
    <w:name w:val="heading 5"/>
    <w:basedOn w:val="Normal"/>
    <w:next w:val="Normal"/>
    <w:pPr>
      <w:pBdr>
        <w:bottom w:color="a61515" w:space="1" w:sz="6" w:val="single"/>
      </w:pBdr>
      <w:spacing w:after="0" w:before="200" w:lineRule="auto"/>
    </w:pPr>
    <w:rPr>
      <w:smallCaps w:val="1"/>
      <w:color w:val="7c0f0f"/>
    </w:rPr>
  </w:style>
  <w:style w:type="paragraph" w:styleId="Heading6">
    <w:name w:val="heading 6"/>
    <w:basedOn w:val="Normal"/>
    <w:next w:val="Normal"/>
    <w:pPr>
      <w:pBdr>
        <w:bottom w:color="a61515" w:space="1" w:sz="6" w:val="dotted"/>
      </w:pBdr>
      <w:spacing w:after="0" w:before="200" w:lineRule="auto"/>
    </w:pPr>
    <w:rPr>
      <w:smallCaps w:val="1"/>
      <w:color w:val="7c0f0f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mallCaps w:val="1"/>
      <w:color w:val="a61515"/>
      <w:sz w:val="52"/>
      <w:szCs w:val="52"/>
    </w:rPr>
  </w:style>
  <w:style w:type="paragraph" w:styleId="Subtitle">
    <w:name w:val="Subtitle"/>
    <w:basedOn w:val="Normal"/>
    <w:next w:val="Normal"/>
    <w:pPr>
      <w:spacing w:after="500" w:before="0" w:line="240" w:lineRule="auto"/>
    </w:pPr>
    <w:rPr>
      <w:smallCaps w:val="1"/>
      <w:color w:val="595959"/>
      <w:sz w:val="21"/>
      <w:szCs w:val="21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podatelna@ochranc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datelna@ochrance.cz" TargetMode="External"/><Relationship Id="rId8" Type="http://schemas.openxmlformats.org/officeDocument/2006/relationships/hyperlink" Target="mailto:posta@mpsv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+UGShLzSCF7p/X6tF1TFMt1Ew==">CgMxLjAyDmgubTY5ZWZjYTdtb2hpOAByITEyM2VCTmlzYUFZZDFDZmhFel9MbENfS0Y1cXRZVDgweQ==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0x010100CD59CACF64E42940953BB53A9C394B0C</vt:lpwstr>
  </property>
  <property fmtid="{D5CDD505-2E9C-101B-9397-08002B2CF9AE}" pid="3" name="MediaServiceImageTags">
    <vt:lpwstr>MediaServiceImageTags</vt:lpwstr>
  </property>
</Properties>
</file>