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2"/>
        </w:tabs>
        <w:spacing w:after="120" w:before="0" w:line="259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Standard č. 1: Cíle a způsoby poskytování sociálních služeb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2"/>
        </w:tabs>
        <w:spacing w:after="120" w:before="0" w:line="259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Obsah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062"/>
        </w:tabs>
        <w:spacing w:after="120" w:before="0" w:line="259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id w:val="1592107803"/>
        <w:docPartObj>
          <w:docPartGallery w:val="Table of Contents"/>
          <w:docPartUnique w:val="1"/>
        </w:docPartObj>
      </w:sdtPr>
      <w:sdtContent>
        <w:p w:rsidR="00000000" w:rsidDel="00000000" w:rsidP="00000000" w:rsidRDefault="00000000" w:rsidRPr="00000000" w14:paraId="00000006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259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r w:rsidDel="00000000" w:rsidR="00000000" w:rsidRPr="00000000">
            <w:fldChar w:fldCharType="begin"/>
            <w:instrText xml:space="preserve"> TOC \h \u \z \t "Heading 1,1,Heading 2,2,Heading 3,3,"</w:instrText>
            <w:fldChar w:fldCharType="separate"/>
          </w:r>
          <w:hyperlink w:anchor="_heading=h.ofkp58glftvs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Poslání</w:t>
            </w:r>
          </w:hyperlink>
          <w:hyperlink w:anchor="_heading=h.ofkp58glftvs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7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259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tmk7imr5vwjw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Cíle služby</w:t>
            </w:r>
          </w:hyperlink>
          <w:hyperlink w:anchor="_heading=h.tmk7imr5vwjw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8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259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53grsx10grzz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Zásady poskytování služby</w:t>
            </w:r>
          </w:hyperlink>
          <w:hyperlink w:anchor="_heading=h.53grsx10grzz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2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9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259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c77zh5j3j4d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Okruh osob, kterým je služba určena</w:t>
            </w:r>
          </w:hyperlink>
          <w:hyperlink w:anchor="_heading=h.c77zh5j3j4d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A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259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cj50ntj91r44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Zajištění uplatnění vůle uživatelů</w:t>
            </w:r>
          </w:hyperlink>
          <w:hyperlink w:anchor="_heading=h.cj50ntj91r44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259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668l0entnhkj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Pracovní postupy pro zajištění kvalitní služby</w:t>
            </w:r>
          </w:hyperlink>
          <w:hyperlink w:anchor="_heading=h.668l0entnhkj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right" w:leader="none" w:pos="9062"/>
            </w:tabs>
            <w:spacing w:after="100" w:before="0" w:line="259" w:lineRule="auto"/>
            <w:ind w:left="0" w:right="0" w:firstLine="0"/>
            <w:jc w:val="both"/>
            <w:rPr>
              <w:rFonts w:ascii="Calibri" w:cs="Calibri" w:eastAsia="Calibri" w:hAnsi="Calibri"/>
              <w:b w:val="0"/>
              <w:bCs w:val="0"/>
              <w:i w:val="0"/>
              <w:iCs w:val="0"/>
              <w:smallCaps w:val="0"/>
              <w:strike w:val="0"/>
              <w:color w:val="000000"/>
              <w:sz w:val="22"/>
              <w:szCs w:val="22"/>
              <w:u w:val="none"/>
              <w:shd w:fill="auto" w:val="clear"/>
              <w:vertAlign w:val="baseline"/>
            </w:rPr>
          </w:pPr>
          <w:hyperlink w:anchor="_heading=h.y9jmxtsso4d9"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Ochrana osob před předsudky a negativním hodnocením</w:t>
            </w:r>
          </w:hyperlink>
          <w:hyperlink w:anchor="_heading=h.y9jmxtsso4d9"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 xml:space="preserve">3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0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160" w:before="0" w:line="240" w:lineRule="auto"/>
            <w:ind w:left="0" w:right="0" w:firstLine="0"/>
            <w:jc w:val="both"/>
            <w:rPr>
              <w:rFonts w:ascii="Arial" w:cs="Arial" w:eastAsia="Arial" w:hAnsi="Arial"/>
              <w:b w:val="1"/>
              <w:bCs w:val="1"/>
              <w:i w:val="0"/>
              <w:iCs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fldChar w:fldCharType="end"/>
          </w:r>
        </w:p>
      </w:sdtContent>
    </w:sdt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color="7f7f7f" w:space="1" w:sz="4" w:val="single"/>
          <w:left w:color="7f7f7f" w:space="4" w:sz="4" w:val="single"/>
          <w:bottom w:color="7f7f7f" w:space="1" w:sz="4" w:val="single"/>
          <w:right w:color="7f7f7f" w:space="4" w:sz="4" w:val="single"/>
        </w:pBdr>
        <w:spacing w:after="0" w:line="240" w:lineRule="auto"/>
        <w:jc w:val="both"/>
        <w:rPr>
          <w:rFonts w:ascii="Arial" w:cs="Arial" w:eastAsia="Arial" w:hAnsi="Arial"/>
          <w:i w:val="1"/>
          <w:iCs w:val="1"/>
          <w:color w:val="7f7f7f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7f7f7f"/>
          <w:rtl w:val="0"/>
        </w:rPr>
        <w:t xml:space="preserve">a) Poskytovatel má písemně definováno a zveřejněno poslání, cíle a zásady poskytované sociální služby a okruh osob, kterým je určena, a to v souladu se zákonem stanovenými základními zásadami poskytování sociálních služeb, druhem sociální služby a individuálně určenými potřebami osob, kterým je sociální služba poskytována; podle tohoto poslání, cílů a zásad poskytovatel postupuje;</w:t>
      </w:r>
    </w:p>
    <w:p w:rsidR="00000000" w:rsidDel="00000000" w:rsidP="00000000" w:rsidRDefault="00000000" w:rsidRPr="00000000" w14:paraId="00000022">
      <w:pPr>
        <w:pStyle w:val="Heading2"/>
        <w:spacing w:after="120" w:before="280" w:lineRule="auto"/>
        <w:rPr>
          <w:rFonts w:ascii="Arial" w:cs="Arial" w:eastAsia="Arial" w:hAnsi="Arial"/>
        </w:rPr>
      </w:pPr>
      <w:bookmarkStart w:colFirst="0" w:colLast="0" w:name="_heading=h.ofkp58glftvs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Poslání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Domov se zvláštním režimem poskytuje podporu a celodenní péči osobám se sníženou soběstačností z důvodu chronického duševního onemocnění zejména lidem se schizofrenií nebo etylickou demencí v bezpečném, respektujícím 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odporujícím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prostředí.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Style w:val="Heading2"/>
        <w:spacing w:after="120" w:before="280" w:lineRule="auto"/>
        <w:rPr>
          <w:rFonts w:ascii="Arial" w:cs="Arial" w:eastAsia="Arial" w:hAnsi="Arial"/>
          <w:b w:val="1"/>
          <w:bCs w:val="1"/>
        </w:rPr>
      </w:pPr>
      <w:bookmarkStart w:colFirst="0" w:colLast="0" w:name="_heading=h.tmk7imr5vwjw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Cíle služby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Cílem služby je zajistit kvalitní a důstojný život uživatelům v souladu s jejich individuálními potřebami, možnostmi a právy formou odbornou péče, která odpovídá jejich specifickým potřebám, omezením a zdravotnímu stavu v pobytové službě, která podporuje zachování zbytkové soběstačnosti a sociálních kontaktů.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" w:line="240" w:lineRule="auto"/>
        <w:ind w:left="568" w:right="0" w:hanging="28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Poskytovat ucelenou péči a minimalizovat rizika spojená s dezorientací, poruchami chování či zdravotními omezeními.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8" w:right="0" w:hanging="284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Podporovat udržení co největší možné míry samostatnosti uživatelů.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8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Podporovat sociální vazby a kontakt s rodinou i okolím.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8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Respektovat lidská práva, důstojnost a individuální volbu každého uživatele.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8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spacing w:after="120" w:before="280" w:lineRule="auto"/>
        <w:rPr>
          <w:rFonts w:ascii="Arial" w:cs="Arial" w:eastAsia="Arial" w:hAnsi="Arial"/>
        </w:rPr>
      </w:pPr>
      <w:bookmarkStart w:colFirst="0" w:colLast="0" w:name="_heading=h.53grsx10grzz" w:id="2"/>
      <w:bookmarkEnd w:id="2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Zásady poskytování služby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568" w:right="0" w:hanging="284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Právo na základní poradenství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8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Každý, kdo se obrátí na sociální službu, má nárok na bezplatné základní poradenství pro orientaci v nepříznivé sociální situaci a možnostech pomoci a podpory.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568" w:right="0" w:hanging="284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Důstojnost a respekt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8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Při poskytování pomoci respektujeme osobnost, hodnotu a jedinečnost každého člověka.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568" w:right="0" w:hanging="284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Individualita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8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Pomoc vychází z potřeb, možností a přání každého člověka.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568" w:right="0" w:hanging="284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Podpora aktivity a samostatnosti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8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Služba působí na osoby aktivně, podporuje rozvoj jejich samostatnosti a motivuje je k činnostem, které vedou z nepříznivé situace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568" w:right="0" w:hanging="284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Začlenění a integrace 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8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Podporujeme kontakt s rodinou, blízkými a komunitou v rozsahu, který si uživatel přeje.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568" w:right="0" w:hanging="284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Záruka kvality služby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8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Služby jsou poskytovány ve prospěch osob, s odbornou kvalitou a respektováním lidských práv a svobod.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0" w:line="240" w:lineRule="auto"/>
        <w:ind w:left="568" w:right="0" w:hanging="284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Přirozené prostředí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568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Klient může využít osobní doplňky, aby se cítil pohodlně a doma.</w:t>
      </w:r>
    </w:p>
    <w:p w:rsidR="00000000" w:rsidDel="00000000" w:rsidP="00000000" w:rsidRDefault="00000000" w:rsidRPr="00000000" w14:paraId="0000003B">
      <w:pPr>
        <w:pStyle w:val="Heading2"/>
        <w:spacing w:after="120" w:before="280" w:lineRule="auto"/>
        <w:rPr>
          <w:rFonts w:ascii="Arial" w:cs="Arial" w:eastAsia="Arial" w:hAnsi="Arial"/>
        </w:rPr>
      </w:pPr>
      <w:bookmarkStart w:colFirst="0" w:colLast="0" w:name="_heading=h.c77zh5j3j4d" w:id="3"/>
      <w:bookmarkEnd w:id="3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Okruh osob, kterým je služba určena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before="28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cvuqvtk6k5vz" w:id="4"/>
      <w:bookmarkEnd w:id="4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Služba je určena osobám od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let věku, které se nacházejí v nepříznivé sociální situaci z důvodu zdravotního stavu a potřebují pravidelnou podporu a péči jiné fyzické osoby v podmínkách pobytové sociální služby. Je určena dospělým osobám s duševním onemocněním, zejména osobám se závažnými chronickými diagnózami, jako jsou lidé se schizofrenií nebo etylickou demencí, jejichž stav vyžaduje specifický režim podpory, stabilní prostředí a dlouhodobou pomoc při zvládání běžných úkonů péče o vlastní osobu.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Bdr>
          <w:top w:color="7f7f7f" w:space="1" w:sz="4" w:val="single"/>
          <w:left w:color="7f7f7f" w:space="4" w:sz="4" w:val="single"/>
          <w:bottom w:color="7f7f7f" w:space="1" w:sz="4" w:val="single"/>
          <w:right w:color="7f7f7f" w:space="4" w:sz="4" w:val="single"/>
        </w:pBdr>
        <w:spacing w:after="0" w:line="240" w:lineRule="auto"/>
        <w:jc w:val="both"/>
        <w:rPr>
          <w:rFonts w:ascii="Arial" w:cs="Arial" w:eastAsia="Arial" w:hAnsi="Arial"/>
          <w:i w:val="1"/>
          <w:iCs w:val="1"/>
          <w:color w:val="7f7f7f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7f7f7f"/>
          <w:rtl w:val="0"/>
        </w:rPr>
        <w:t xml:space="preserve">b) Poskytovatel vytváří podmínky, aby osoby, kterým poskytuje sociální službu, mohly uplatňovat vlastní vůli při řešení své nepříznivé sociální situace;</w:t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2"/>
        <w:spacing w:after="120" w:before="280" w:lineRule="auto"/>
        <w:rPr>
          <w:rFonts w:ascii="Arial" w:cs="Arial" w:eastAsia="Arial" w:hAnsi="Arial"/>
        </w:rPr>
      </w:pPr>
      <w:bookmarkStart w:colFirst="0" w:colLast="0" w:name="_heading=h.cj50ntj91r44" w:id="5"/>
      <w:bookmarkEnd w:id="5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Zajištění uplatnění vůle uživatelů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8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Uživatelé mají možnost podílet se na tvorbě individuálního plánu služby.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8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Podporujeme rozhodování uživatelů o každodenních aktivitách.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8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Pravidelně vyhodnocujeme naplňování individuálních cílů a jejich změny podle potřeb uživatele.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Bdr>
          <w:top w:color="7f7f7f" w:space="1" w:sz="4" w:val="single"/>
          <w:left w:color="7f7f7f" w:space="4" w:sz="4" w:val="single"/>
          <w:bottom w:color="7f7f7f" w:space="1" w:sz="4" w:val="single"/>
          <w:right w:color="7f7f7f" w:space="4" w:sz="4" w:val="single"/>
        </w:pBdr>
        <w:spacing w:after="0" w:line="240" w:lineRule="auto"/>
        <w:jc w:val="both"/>
        <w:rPr>
          <w:rFonts w:ascii="Arial" w:cs="Arial" w:eastAsia="Arial" w:hAnsi="Arial"/>
          <w:i w:val="1"/>
          <w:iCs w:val="1"/>
          <w:color w:val="7f7f7f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7f7f7f"/>
          <w:rtl w:val="0"/>
        </w:rPr>
        <w:t xml:space="preserve">c) Poskytovatel má písemně zpracovány pracovní postupy zaručující řádný průběh poskytování sociální služby a podle nich postupuje;</w:t>
      </w:r>
    </w:p>
    <w:p w:rsidR="00000000" w:rsidDel="00000000" w:rsidP="00000000" w:rsidRDefault="00000000" w:rsidRPr="00000000" w14:paraId="00000046">
      <w:pPr>
        <w:pStyle w:val="Heading2"/>
        <w:spacing w:after="120" w:before="280" w:lineRule="auto"/>
        <w:rPr>
          <w:rFonts w:ascii="Arial" w:cs="Arial" w:eastAsia="Arial" w:hAnsi="Arial"/>
        </w:rPr>
      </w:pPr>
      <w:bookmarkStart w:colFirst="0" w:colLast="0" w:name="_heading=h.668l0entnhkj" w:id="6"/>
      <w:bookmarkEnd w:id="6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Pracovní postupy pro zajištění kvalitní služby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8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Písemně zpracované standardy a metodiky k jednotlivým oblastem poskytování služby.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8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Pravidelné vzdělávání personálu v oblasti péče o osoby s </w:t>
      </w:r>
      <w:r w:rsidDel="00000000" w:rsidR="00000000" w:rsidRPr="00000000">
        <w:rPr>
          <w:rFonts w:ascii="Arial" w:cs="Arial" w:eastAsia="Arial" w:hAnsi="Arial"/>
          <w:rtl w:val="0"/>
        </w:rPr>
        <w:t xml:space="preserve">duševním onemocněním.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8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Systém hodnocení kvality poskytovaných služeb a zpětná vazba uživatelů, osob blízkých, dalších zainteresovaných fyzických a právnických osob, zaměstnanců.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pBdr>
          <w:top w:color="7f7f7f" w:space="1" w:sz="4" w:val="single"/>
          <w:left w:color="7f7f7f" w:space="4" w:sz="4" w:val="single"/>
          <w:bottom w:color="7f7f7f" w:space="1" w:sz="4" w:val="single"/>
          <w:right w:color="7f7f7f" w:space="4" w:sz="4" w:val="single"/>
        </w:pBdr>
        <w:spacing w:after="0" w:line="240" w:lineRule="auto"/>
        <w:jc w:val="both"/>
        <w:rPr>
          <w:rFonts w:ascii="Arial" w:cs="Arial" w:eastAsia="Arial" w:hAnsi="Arial"/>
          <w:i w:val="1"/>
          <w:iCs w:val="1"/>
          <w:color w:val="7f7f7f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color w:val="7f7f7f"/>
          <w:rtl w:val="0"/>
        </w:rPr>
        <w:t xml:space="preserve">d) Poskytovatel vytváří a uplatňuje vnitřní pravidla pro ochranu osob před předsudky a negativním hodnocením, ke kterému by mohlo dojít v důsledku poskytování sociální služby.</w:t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Arial" w:cs="Arial" w:eastAsia="Arial" w:hAnsi="Arial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Style w:val="Heading2"/>
        <w:spacing w:after="120" w:before="280" w:lineRule="auto"/>
        <w:rPr>
          <w:rFonts w:ascii="Arial" w:cs="Arial" w:eastAsia="Arial" w:hAnsi="Arial"/>
        </w:rPr>
      </w:pPr>
      <w:bookmarkStart w:colFirst="0" w:colLast="0" w:name="_heading=h.y9jmxtsso4d9" w:id="7"/>
      <w:bookmarkEnd w:id="7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Ochrana osob před předsudky a negativním hodnocením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8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Vytváříme otevřenou a respektující atmosféru pro uživatele i jejich blízké.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8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Zajišťujeme odbornou přípravu zaměřenou na etiku, respekt a komunikaci s osobami s duševním onemocněním.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568" w:right="0" w:hanging="284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Podporujeme uživatele ve společenské integraci a vztazích s komunitou.</w:t>
      </w:r>
    </w:p>
    <w:sectPr>
      <w:headerReference r:id="rId7" w:type="firs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Domov se zvláštním režimem sv. Anny</w:t>
    </w:r>
  </w:p>
  <w:p w:rsidR="00000000" w:rsidDel="00000000" w:rsidP="00000000" w:rsidRDefault="00000000" w:rsidRPr="00000000" w14:paraId="0000005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c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e75b5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e75b5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pxSInbqbYbLWiVnBpw9mngh1EQ==">CgMxLjAyDmgub2ZrcDU4Z2xmdHZzMg5oLnRtazdpbXI1dndqdzIOaC41M2dyc3gxMGdyenoyDWguYzc3emg1ajNqNGQyDmguY3Z1cXZ0azZrNXZ6Mg5oLmNqNTBudGo5MXI0NDIOaC42NjhsMGVudG5oa2oyDmgueTlqbXh0c3NvNGQ5OAByITFWQXo1WFEzbHgwOTYxeEVLa3BCZHlVMDByRER2TV81TQ==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